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Art. 36 RvO VVD inzake huisvesting statushouders Oldenhove 2022000224.pdf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47,27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VD-inzake-huisvesting-statushouders-Oldenhove-20220002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 36 RvO vragen ZB inzake Oldenhove 2022000182.pdf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28,88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Oldenhove-202200018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 Overzicht raadsvragen volgens artikel 36 RvO 2022000037.pdf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46,54 KB</text:p>
          </table:table-cell>
          <table:table-cell table:style-name="Table3.A2" office:value-type="string">
            <text:p text:style-name="P22">
              <text:a xlink:type="simple" xlink:href="https://gemeenteraad.bloemendaal.nl/Documenten/2022-Overzicht-raadsvragen-volgens-artikel-36-RvO-202200003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1" meta:character-count="395" meta:non-whitespace-character-count="3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